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59" w:rsidRPr="00B4370E" w:rsidRDefault="00474EF8" w:rsidP="00FD26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правка</w:t>
      </w:r>
      <w:r w:rsidRPr="00B4370E">
        <w:rPr>
          <w:lang w:val="ru-RU"/>
        </w:rPr>
        <w:br/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проведения мероприятий в рамках внутренней системы оценки</w:t>
      </w:r>
      <w:r w:rsidRPr="00B4370E">
        <w:rPr>
          <w:lang w:val="ru-RU"/>
        </w:rPr>
        <w:br/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образования в МБОУ «СОШ № </w:t>
      </w:r>
      <w:r w:rsid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направлению</w:t>
      </w:r>
      <w:r w:rsidRPr="00B4370E">
        <w:rPr>
          <w:lang w:val="ru-RU"/>
        </w:rPr>
        <w:br/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«Качество условий, обеспечивающих образовательную деятельность»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Оценка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условий, обеспечивающих образовательную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 проводилась среди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обучающихся 1–11-х классов 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 проведения оценки качества условий, обеспечивающих образовательную деятельность: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мероприятий по оценке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условий, обеспечивающих образовательную деятельность: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25.08.2022–2</w:t>
      </w:r>
      <w:r w:rsidR="00FD26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D26C2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D26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оценки качества условий, обеспечивающих образовательную деятельность: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32359" w:rsidRPr="00B4370E" w:rsidRDefault="00474EF8" w:rsidP="00FD26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соответствие условий, обеспечивающих образовательную деятельность, требованиям нормативно-правовых актов в сфере образования и запросам участников образовательных отношений;</w:t>
      </w:r>
    </w:p>
    <w:p w:rsidR="00532359" w:rsidRPr="00B4370E" w:rsidRDefault="00474EF8" w:rsidP="00FD26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выявить степень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условий, обеспечивающих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 период проведения оценки;</w:t>
      </w:r>
    </w:p>
    <w:p w:rsidR="00532359" w:rsidRPr="00B4370E" w:rsidRDefault="00474EF8" w:rsidP="00FD26C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предусмотреть мероприятия по улучшению качества условий, обеспечивающих образовательную деятельность в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оценки качества условий, обеспечивающих образовательную деятельность: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, обстановка в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(санитарно-гигиеническая, психологическая и др.), педагогический коллектив, администрация.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условий, обеспечивающих образовательную деятельность: 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занятий;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собеседование;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самообследование;</w:t>
      </w:r>
    </w:p>
    <w:p w:rsidR="00532359" w:rsidRDefault="00474EF8" w:rsidP="00FD26C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опрос;</w:t>
      </w:r>
    </w:p>
    <w:p w:rsidR="00532359" w:rsidRDefault="00474EF8" w:rsidP="00FD26C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Инструментарий 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условий, обеспечивающих образовательную деятельность:</w:t>
      </w:r>
    </w:p>
    <w:p w:rsidR="00532359" w:rsidRPr="00B4370E" w:rsidRDefault="00474EF8" w:rsidP="00FD26C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оценочные материалы (карты анализа занятий, оценочные листы, индивидуальные карты, таблицы анализа,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бланки самооценки,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кодификаторы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 др.);</w:t>
      </w:r>
    </w:p>
    <w:p w:rsidR="00532359" w:rsidRDefault="00474EF8" w:rsidP="00FD26C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359" w:rsidRDefault="00474EF8" w:rsidP="00FD26C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опросники;</w:t>
      </w:r>
    </w:p>
    <w:p w:rsidR="00532359" w:rsidRDefault="00474EF8" w:rsidP="00FD26C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анкеты.</w:t>
      </w:r>
    </w:p>
    <w:p w:rsidR="00532359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Результаты оценки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качества условий, обеспечивающих образовательную деятельность в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проводилась по следующим основным критериям:</w:t>
      </w:r>
    </w:p>
    <w:p w:rsidR="00532359" w:rsidRPr="00B4370E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 и локальные нормативные акты.</w:t>
      </w:r>
    </w:p>
    <w:p w:rsidR="00532359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Материально-техническое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2359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условия.</w:t>
      </w:r>
    </w:p>
    <w:p w:rsidR="00532359" w:rsidRPr="00B4370E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Информационно-развивающая среда, в том числе средства ИКТ и учебно-методическое обеспечение.</w:t>
      </w:r>
    </w:p>
    <w:p w:rsidR="00532359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2359" w:rsidRPr="00B4370E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обеспечение, включая повышение квалификации и методическую деятельность педагогов.</w:t>
      </w:r>
    </w:p>
    <w:p w:rsidR="00532359" w:rsidRPr="00B4370E" w:rsidRDefault="00474EF8" w:rsidP="00FD26C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Общественно-государственное управление (педагогический совет, родительские комитеты, ученическое самоуправление) и стимулирование качества образования.</w:t>
      </w:r>
    </w:p>
    <w:p w:rsidR="00532359" w:rsidRPr="00B4370E" w:rsidRDefault="00474EF8" w:rsidP="00FD26C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Удовлетворенность обучающихся и их родителей (законных представителей) условиями в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основным критериям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Документооборот и локальные нормативные акты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школы оформлены и утверждены в соответствии с нормативными правовыми актами в сфере образования. Документооборот производится согласно Инструкции по делопроизводству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Материально-техническое обеспечение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Учебные кабинеты и спортивны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зал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в соответствии с требованиями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 соблюдением правил техники безопасности. Каждый кабинет укомплектован паспортом,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планом работы на учебный год и стендовым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материалом, который носит обучающий характер,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и учебно-методическим комплексом средств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школьной библиотеки сформирован в соответствии с образовательными программами МБОУ «СОШ № 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учебной (13 806 экземпляров) и художественной литературы (13 809 экземпляров). Картотека учебников пополняется и редактируется по мере их поступления,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началу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учебного года фонд учебной литературы пополнился: поступило 179 экземпляров учебной литературы. Все УМК библиотеки соответствуют федеральному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перечню учебников и требованиям ФГОС.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Общая обеспеченность учебной литературой, предполагаемой к выдаче из школьного библиотечного фонда, от общего числа необходимых обучающимся пособий составляет 100 процентов.</w:t>
      </w:r>
      <w:proofErr w:type="gramEnd"/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организована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пространственно-временная среда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(специальные технические средства и оборудование, специальные учебники и учебные пособия, дополнительная визуализация, специальная наглядность)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особыми образовательными потребностями обучающихся с ОВЗ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«СОШ № 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Санитарно-гигиенические условия</w:t>
      </w:r>
    </w:p>
    <w:p w:rsidR="00B5766F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кабинеты и спортивный зал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СП 2.4.3648-20,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главного санитарного 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врача от 28.09.2020 № 28,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Требования к учебному оборудованию при организации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естественного и 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скусственного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освещения и профилактические меры по борьбе с 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коронавирусом</w:t>
      </w:r>
      <w:proofErr w:type="spell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соблюдаются полностью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всех кабинетах. 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соблюдают требования СП и 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к организации урока в допустимом объеме. За готовностью рабочих мест обучающихся следят 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педагогов. 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организована с применением здоровьесберегающих технологий. Соблюдается оптимальная частота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чередования различных видов и методов учебной деятельности, проводится своевременная профилактика гиподинамии и утомления глаз при работе с компьютером,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 электронные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обучения используются в пределах нормы и др.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Информационно-развивающая среда, в том числе средства ИКТ и учебно-методическое обеспечение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контроля работы системы 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контентной</w:t>
      </w:r>
      <w:proofErr w:type="spell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фильтрации показали высокую защищенность и безопасность школьного доступа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к ресурсам сети Интернет.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Диагностика технического состояния цифровой образовательной среды МБОУ «СОШ № 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5766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показала необходимость замены </w:t>
      </w:r>
      <w:r w:rsidR="00FD26C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электронных устройств (компьютеров,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электронных досок, проекторов), которые планируется обновить в течение календарного года за счет дополнительного финансирования. Официальный сайт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4F375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F3752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приказов 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от 14.08.2020 № 831,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от 12.01.2022 № 24. Документы, которые размещены на сайте, своевременно обновляются и характеризуют открытость и доступность информации об образовательной организации.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Психологические условия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осуществлялась через организацию диагностической, консультативной, коррекционно-развивающей, профилактической и просветительской работы. 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были выполнены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со всеми участниками образовательных отношений в соответствии с их запросами и согласно плану работы педагога-психолога на учебный год. Организация психологической деятельности позволила своевременно выявить обучающихся с проблемами в развитии и обучении и оказать им соответствующую психолого-педагогическую помощь,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социально-психологические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компетенции участников образовательных отношений.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По итогам мероприятий просветительской и профилактической деятельности у участников были сформированы знания, умения и навыки по изучаемой тематике.</w:t>
      </w:r>
    </w:p>
    <w:p w:rsidR="004F3752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Проведенный анализ психологической деятельности позволил выявить ряд проблем. Не все родители (в основном это родители обучающихся из неблагополучных семей) приходят на консультации для обсуждения результатов диагностических обследований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Не налажена система консультативного взаимодействия «учитель – психолог – родитель», то есть взаимодействие осуществляется в одностороннем порядке.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реализации коррекционно-развивающих занятий для обучающихся с трудностями в поведении несколько обучающихся систематически пропускали занятия. 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Кадровое обеспечение, включая повышение квалификации и методическую деятельность педагогов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показала,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4F375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F3752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созданы оптимальные условия для осуществления методического сопровождения педагогов в ходе реализации ФГОС. Систематически проводятся заседания ШМО, на которых обсуждаются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актуальные вопросы (переход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на ФГОС НОО и ООО 2021 года, совершенствование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стандартам, 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модулей рабочей программы воспитания и др.) и происходит обмен опытом. В школе созда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ётся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медиатека</w:t>
      </w:r>
      <w:proofErr w:type="spell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цифровых образовательных ресурсов. Банк методических материалов для систематизации практического опыта учителей постоянно пополняется. Учителя-предметники регулярно посещают внутренние и муниципальные семинары, конференции, посвященные актуальным вопросам, регулярно проходят курсы повышения квалификации и аттестацию. В результате проверки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выявлен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удовлетворительный уровень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с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высокомотивированными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 одаренными обучающимися и недостаточная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таких обучающихся.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Общественно-государственное управление (педагогический совет, родительские комитеты, ученическое самоуправление) и стимулирование качества образования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Заседания педагогического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и родительских комитетов проходят согласно планам их работы на учебный год. Заседания ученического совета проходят с периодичностью, указанной в положении об ученическом самоуправлении 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 Решения по итогам заседаний педагогического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совета, родительских комитетов и ученического совета зафиксированы в протоколах. Контроль работы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высокий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координированности</w:t>
      </w:r>
      <w:proofErr w:type="spell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заинтересованности участников заседаний, что подтверждается ходом заседаний, зафиксированных в протоколах,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высокими показателями посещаемости заседаний.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стимулированию качества образования в 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проводится регулярно. В МБОУ «СОШ №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программа работы с низкомотивированными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 контроль ее результатов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системную работу большинства учителей-предметников и классных руководителей с низкомотивированными и слабоуспевающими обучающимися.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Педагоги используют различные формы и методы работы на уроке и во внеурочное время, создают ситуации успеха, поддерживают обратную связь с обучающимися, выясняя степень понимания материала и формирования необходимых компетенций.</w:t>
      </w:r>
      <w:proofErr w:type="gramEnd"/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Удовлетворенность обучающихся и их родителей (законных представителей) условиями в МБОУ «СОШ № </w:t>
      </w:r>
      <w:r w:rsidR="00750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опросов и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их родителей (законных представителей) по вопросам удовлетворенности условиями в 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 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показал, что 97,6 процента респондентов положительно оценивают комфортность условий в 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95 процентов респондентов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позитивно оценивают открытость и доступность информации о 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предоставляемых услуг и готовы рекомендовать обучение в школе родственникам, друзьям и знакомым 97 процентов опрошенных.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Таким образом, оценка направления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«Качество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условий, обеспечивающих образовательную деятельность» внутренней системы оценки качества образования 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выявила удовлетворительный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уровень обеспечения ресурсами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, компетентность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 и педагогического коллектива, высокую степень удовлетворенности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</w:p>
    <w:p w:rsidR="00750CF3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учебно-воспитательной работе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Е.Ю. Исаковой: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1.1. Проконтролировать актуальность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0CF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1.2. Включить в план внутришкольного контроля дополнительные проверки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занятий и внеурочного времени в срок до </w:t>
      </w:r>
      <w:r w:rsidR="00C7235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.03.2023.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Проконтролировать безопасность </w:t>
      </w:r>
      <w:proofErr w:type="spellStart"/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ИКТ-ресурсов</w:t>
      </w:r>
      <w:proofErr w:type="spellEnd"/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 </w:t>
      </w:r>
      <w:r w:rsidR="00C7235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235C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обновление информации на сайте.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1.4. Отслеживать своевременность прохождения курсов повышения квалификации педагогическими и руководящими сотрудниками, в том числе по вопросам обучения детей с ОВЗ.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1.5. Включить дополнительные семинары и курсы по совершенствованию </w:t>
      </w:r>
      <w:proofErr w:type="spellStart"/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ИКТ-компетентности</w:t>
      </w:r>
      <w:proofErr w:type="spellEnd"/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в план методической работы школы, проконтролировать их организацию и посещение в срок до 25.05.2023.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1.6. Проконтролировать своевременность проведения и правильность оформления заседаний педагогического совета, родительских комитетов и ученического совета.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ведующей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административно-хозяйственной части 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Е.А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 xml:space="preserve"> Тимониной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2.1. Изучить результаты оценивания материально-технических условий и диагностики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технического состояния цифровой образовательной среды, разработать план по выполнению решений по указанным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критериям в срок до 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2.2. Провести анализ условий по организации обучения детей с ОВЗ и инвалидов, разработать план для их улучшения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 срок до 10.0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Библиотекарю Н.Ю. Никитиной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обновление библиотечного фонда.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срок до 15.0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провести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культурному развитию личности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продвижению чтения.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Всем педагогам соблюдать режим организации занятий и внеурочного времени.</w:t>
      </w:r>
    </w:p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5. Руководителям методических объединений учесть программу работы с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высокомотивированными обучающимися, включить мероприятия по теоретической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и практической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педагогов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с одаренными и высокомотивированными 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в план работы объединений.</w:t>
      </w:r>
    </w:p>
    <w:p w:rsidR="00532359" w:rsidRPr="00B4370E" w:rsidRDefault="00AA4F23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. Классным руководителям и учителям-предметникам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с низкомотивированными и </w:t>
      </w:r>
      <w:proofErr w:type="gramStart"/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proofErr w:type="gramEnd"/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</w:p>
    <w:p w:rsidR="00532359" w:rsidRPr="00B4370E" w:rsidRDefault="00FD26C2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учебно-воспитательной работе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 xml:space="preserve"> Ю. Исаковой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руководителям 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объединений педагогов провести анализ данных по оценке качества работы педагогов, выявить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причины неудовлетворенности участников образовательного процесса,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мероприятий, способствующих повышению качества работы педагогов.</w:t>
      </w:r>
    </w:p>
    <w:p w:rsidR="00532359" w:rsidRPr="00B4370E" w:rsidRDefault="00FD26C2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. Заместителю директора по учебно-воспитательной работе 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Е.Ю. Исаковой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ведующей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административно-хозяйственной части </w:t>
      </w:r>
      <w:r w:rsidR="00AA4F23">
        <w:rPr>
          <w:rFonts w:hAnsi="Times New Roman" w:cs="Times New Roman"/>
          <w:color w:val="000000"/>
          <w:sz w:val="24"/>
          <w:szCs w:val="24"/>
          <w:lang w:val="ru-RU"/>
        </w:rPr>
        <w:t>Е.А. Тимониной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руководителям </w:t>
      </w:r>
      <w:r w:rsidR="00B909E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объединений педагогов, представителям родительских комитетов и ученического совета</w:t>
      </w:r>
      <w:r w:rsidR="00474EF8">
        <w:rPr>
          <w:rFonts w:hAnsi="Times New Roman" w:cs="Times New Roman"/>
          <w:color w:val="000000"/>
          <w:sz w:val="24"/>
          <w:szCs w:val="24"/>
        </w:rPr>
        <w:t> 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представить предложения по улучшению условий, обеспечивающих образовательную деятельность в МБОУ «СОШ № </w:t>
      </w:r>
      <w:r w:rsidR="00B909E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909E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, в срок до 25.05.2023.</w:t>
      </w:r>
    </w:p>
    <w:p w:rsidR="00532359" w:rsidRPr="00B4370E" w:rsidRDefault="00532359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7"/>
        <w:gridCol w:w="4084"/>
      </w:tblGrid>
      <w:tr w:rsidR="00532359" w:rsidRPr="00DC6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359" w:rsidRDefault="00474EF8" w:rsidP="00FD26C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359" w:rsidRPr="00B4370E" w:rsidRDefault="00FD26C2" w:rsidP="00FD26C2">
            <w:pPr>
              <w:jc w:val="both"/>
              <w:rPr>
                <w:lang w:val="ru-RU"/>
              </w:rPr>
            </w:pPr>
            <w:r w:rsidRPr="00B43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74EF8" w:rsidRPr="00B43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74EF8" w:rsidRPr="00B43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474EF8" w:rsidRPr="00B43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по </w:t>
            </w:r>
            <w:r w:rsidR="00B90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Е.Ю. Исаковой</w:t>
            </w:r>
          </w:p>
        </w:tc>
      </w:tr>
      <w:tr w:rsidR="005323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359" w:rsidRDefault="00474EF8" w:rsidP="00FD26C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359" w:rsidRPr="00B909EF" w:rsidRDefault="00474EF8" w:rsidP="00DC6AE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C6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90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90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D2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532359" w:rsidRPr="00B4370E" w:rsidRDefault="00474EF8" w:rsidP="00FD26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Справка заслушана на заседании педагогического совета МБОУ «СОШ № </w:t>
      </w:r>
      <w:r w:rsidR="00B909E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909E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359" w:rsidRPr="00B4370E" w:rsidRDefault="00474EF8" w:rsidP="00FD26C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 xml:space="preserve">Со справкой </w:t>
      </w:r>
      <w:proofErr w:type="gramStart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B437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2359" w:rsidRPr="00B4370E" w:rsidRDefault="00B909EF" w:rsidP="00FD26C2">
      <w:pPr>
        <w:ind w:firstLine="637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Тимонина Е.А.</w:t>
      </w:r>
    </w:p>
    <w:p w:rsidR="00532359" w:rsidRPr="00B4370E" w:rsidRDefault="00B909EF" w:rsidP="00FD26C2">
      <w:pPr>
        <w:ind w:firstLine="6379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532359" w:rsidRPr="00B4370E" w:rsidRDefault="00B909EF" w:rsidP="00FD26C2">
      <w:pPr>
        <w:ind w:firstLine="637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Никитина Н</w:t>
      </w:r>
      <w:r w:rsidR="00474EF8" w:rsidRPr="00B43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Ю.</w:t>
      </w:r>
    </w:p>
    <w:p w:rsidR="00532359" w:rsidRPr="00B909EF" w:rsidRDefault="00B909EF" w:rsidP="00FD26C2">
      <w:pPr>
        <w:ind w:firstLine="637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Шмакова С.В.</w:t>
      </w:r>
    </w:p>
    <w:p w:rsidR="00532359" w:rsidRPr="00B909EF" w:rsidRDefault="0053235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32359" w:rsidRPr="00B909EF" w:rsidSect="00FD26C2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66D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5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92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74EF8"/>
    <w:rsid w:val="004F3752"/>
    <w:rsid w:val="004F7E17"/>
    <w:rsid w:val="00532359"/>
    <w:rsid w:val="005A05CE"/>
    <w:rsid w:val="00653AF6"/>
    <w:rsid w:val="00750CF3"/>
    <w:rsid w:val="008B775E"/>
    <w:rsid w:val="00AA4F23"/>
    <w:rsid w:val="00B2156B"/>
    <w:rsid w:val="00B4370E"/>
    <w:rsid w:val="00B5766F"/>
    <w:rsid w:val="00B73A5A"/>
    <w:rsid w:val="00B909EF"/>
    <w:rsid w:val="00C7235C"/>
    <w:rsid w:val="00DC6AE9"/>
    <w:rsid w:val="00E438A1"/>
    <w:rsid w:val="00F01E19"/>
    <w:rsid w:val="00FD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2023-03-25T11:30:00Z</dcterms:modified>
</cp:coreProperties>
</file>