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D7" w:rsidRDefault="00A764E0" w:rsidP="002631D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A764E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результатов проведения тренировочных работ по </w:t>
      </w:r>
      <w:r w:rsidR="009D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функциональной грамотности в ноябре 2024 года для учащихся 5-9 классов</w:t>
      </w:r>
    </w:p>
    <w:p w:rsidR="002C00E9" w:rsidRPr="00A764E0" w:rsidRDefault="00A764E0" w:rsidP="002631D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ПГО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764E0"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2024/25 учебном году в</w:t>
      </w:r>
      <w:r w:rsidRPr="00A764E0"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</w:t>
      </w:r>
      <w:r w:rsidRPr="00A764E0">
        <w:rPr>
          <w:rFonts w:ascii="Times New Roman" w:hAnsi="Times New Roman" w:cs="Times New Roman"/>
          <w:sz w:val="24"/>
          <w:szCs w:val="24"/>
          <w:lang w:val="ru-RU"/>
        </w:rPr>
        <w:t>письмом Приморского краевого института развития образования от 14.10.2024 №1375, в целях исполнения   приказа министерства образования Приморского края от 5 сентября 2024 года        23а-1048 «Об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организаций Приморского края на 2024 - 2025 учебный год», письмом администрации Партизанского городского округа Приморского края</w:t>
      </w:r>
      <w:proofErr w:type="gramEnd"/>
      <w:r w:rsidRPr="00A764E0">
        <w:rPr>
          <w:rFonts w:ascii="Times New Roman" w:hAnsi="Times New Roman" w:cs="Times New Roman"/>
          <w:sz w:val="24"/>
          <w:szCs w:val="24"/>
          <w:lang w:val="ru-RU"/>
        </w:rPr>
        <w:t xml:space="preserve"> от 16.10.2024 № 1153 «О проведении тренировочных работ по ФГ»</w:t>
      </w:r>
      <w:bookmarkStart w:id="0" w:name="_GoBack"/>
      <w:bookmarkEnd w:id="0"/>
      <w:r w:rsidRPr="00A764E0">
        <w:rPr>
          <w:rFonts w:ascii="Times New Roman" w:hAnsi="Times New Roman" w:cs="Times New Roman"/>
          <w:sz w:val="24"/>
          <w:szCs w:val="24"/>
          <w:lang w:val="ru-RU"/>
        </w:rPr>
        <w:t>, с приказом МБОУ «СОШ №24» ПГО от 17.10.2024 №182/1-а «О проведении тренировочных работ по ФГ»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="009D0E5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0E5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0E54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в 5–9-х классах</w:t>
      </w:r>
      <w:r w:rsidR="001C349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0E9" w:rsidRPr="00A764E0" w:rsidRDefault="009D0E5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r w:rsidR="00A764E0" w:rsidRPr="00A764E0">
        <w:rPr>
          <w:rFonts w:hAnsi="Times New Roman" w:cs="Times New Roman"/>
          <w:color w:val="000000"/>
          <w:sz w:val="24"/>
          <w:szCs w:val="24"/>
          <w:lang w:val="ru-RU"/>
        </w:rPr>
        <w:t>включал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A764E0"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 </w:t>
      </w:r>
      <w:r w:rsidR="00A764E0">
        <w:rPr>
          <w:rFonts w:hAnsi="Times New Roman" w:cs="Times New Roman"/>
          <w:color w:val="000000"/>
          <w:sz w:val="24"/>
          <w:szCs w:val="24"/>
          <w:lang w:val="ru-RU"/>
        </w:rPr>
        <w:t>тренировочны</w:t>
      </w:r>
      <w:r w:rsidR="00A764E0" w:rsidRPr="00A764E0">
        <w:rPr>
          <w:rFonts w:hAnsi="Times New Roman" w:cs="Times New Roman"/>
          <w:color w:val="000000"/>
          <w:sz w:val="24"/>
          <w:szCs w:val="24"/>
          <w:lang w:val="ru-RU"/>
        </w:rPr>
        <w:t>х работ в 5–9-х классах. Информация о</w:t>
      </w:r>
      <w:r w:rsidR="00A764E0">
        <w:rPr>
          <w:rFonts w:hAnsi="Times New Roman" w:cs="Times New Roman"/>
          <w:color w:val="000000"/>
          <w:sz w:val="24"/>
          <w:szCs w:val="24"/>
        </w:rPr>
        <w:t> </w:t>
      </w:r>
      <w:r w:rsidR="00A764E0" w:rsidRPr="00A764E0">
        <w:rPr>
          <w:rFonts w:hAnsi="Times New Roman" w:cs="Times New Roman"/>
          <w:color w:val="000000"/>
          <w:sz w:val="24"/>
          <w:szCs w:val="24"/>
          <w:lang w:val="ru-RU"/>
        </w:rPr>
        <w:t>проведенных работах представлена в</w:t>
      </w:r>
      <w:r w:rsidR="00A764E0">
        <w:rPr>
          <w:rFonts w:hAnsi="Times New Roman" w:cs="Times New Roman"/>
          <w:color w:val="000000"/>
          <w:sz w:val="24"/>
          <w:szCs w:val="24"/>
        </w:rPr>
        <w:t> </w:t>
      </w:r>
      <w:r w:rsidR="00A764E0" w:rsidRPr="00A764E0">
        <w:rPr>
          <w:rFonts w:hAnsi="Times New Roman" w:cs="Times New Roman"/>
          <w:color w:val="000000"/>
          <w:sz w:val="24"/>
          <w:szCs w:val="24"/>
          <w:lang w:val="ru-RU"/>
        </w:rPr>
        <w:t>таблице 1.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тренировочны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 работах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рамках </w:t>
      </w:r>
      <w:r w:rsidR="009D0E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уровня сформированности функциональной грамотности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"/>
        <w:gridCol w:w="2617"/>
        <w:gridCol w:w="1566"/>
        <w:gridCol w:w="1263"/>
        <w:gridCol w:w="1355"/>
        <w:gridCol w:w="1715"/>
      </w:tblGrid>
      <w:tr w:rsidR="002C00E9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</w:tr>
      <w:tr w:rsidR="002C00E9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Default="00A764E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Pr="009D0E54" w:rsidRDefault="009D0E54">
            <w:pPr>
              <w:rPr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Естественно-научная грамотность. Миссия на Луну.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Pr="009D0E54" w:rsidRDefault="009D0E54">
            <w:pPr>
              <w:rPr>
                <w:sz w:val="24"/>
                <w:szCs w:val="24"/>
              </w:rPr>
            </w:pPr>
            <w:r w:rsidRPr="009D0E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764E0" w:rsidRPr="009D0E54"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Default="009D0E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764E0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P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Pr="009D0E54" w:rsidRDefault="00DC1576">
            <w:pPr>
              <w:rPr>
                <w:lang w:val="ru-RU"/>
              </w:rPr>
            </w:pPr>
            <w:r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Финал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CC5AE2" w:rsidRDefault="00DC157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Читательская грамотность. Выход в космос (6 заданий),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CC5AE2" w:rsidRDefault="00DC1576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Естественно-научная грамотность. Сад на окошке         (4 задания),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9D0E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6-е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 грамотность. Континент-призрак              (6 заданий).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9D0E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Естественно-научная грамотность. Молочные технологии.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CC5A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CC5AE2" w:rsidRDefault="00DC157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грамотность. Шкалы </w:t>
            </w: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температур         (4 задания).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CC5A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Читательская грамотность. Последняя рубашка             (7 заданий).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CC5AE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RPr="009D0E54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Естественно-научная грамотность.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Воскование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фруктов.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RPr="009D0E54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грамотность. </w:t>
            </w:r>
            <w:proofErr w:type="spellStart"/>
            <w:proofErr w:type="gramStart"/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Чудо-арбузы</w:t>
            </w:r>
            <w:proofErr w:type="spellEnd"/>
            <w:proofErr w:type="gramEnd"/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 задания).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Бизнесмен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CC5AE2" w:rsidRDefault="00DC1576" w:rsidP="00AC251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C2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RPr="009D0E54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Естественно-научная грамотность. Антибиотики-убийцы бактерий (6 заданий).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RPr="009D0E54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грамотность. Рацион питания россиян (3 задания).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  <w:tr w:rsidR="00DC1576" w:rsidTr="009D0E54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Читательская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Зарок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 w:rsidP="001C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E54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9D0E54" w:rsidRDefault="00DC15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 w:rsidRPr="00F345DD">
              <w:rPr>
                <w:lang w:val="ru-RU"/>
              </w:rPr>
              <w:t>Региональный</w:t>
            </w:r>
          </w:p>
        </w:tc>
      </w:tr>
    </w:tbl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Цель проведения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— оценить уровень сформированности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обучающихся функциональной грамотности.</w:t>
      </w:r>
      <w:proofErr w:type="gramEnd"/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Всего было проведено 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 работ.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Диагностические работы 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проводились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инструментария электронного банка заданий для оценки функциональной грамотности Российской электронной школы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fg</w:t>
      </w:r>
      <w:proofErr w:type="spell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resh</w:t>
      </w:r>
      <w:proofErr w:type="spell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Для оценивания результатов выполнения работы использовался общий балл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функциональной грамотности.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основе суммарного балла, полученного участниками диагностической 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выполнение всех заданий, определялся уровень сформированности функциональной грамотности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каждому направлению. Выделено пять уровней сформированности функциональной грамотности: </w:t>
      </w:r>
      <w:proofErr w:type="gramStart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proofErr w:type="gram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, низкий, базовый, повышенный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Читательская грамотность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диагностике приняли участие 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>, 23 обучающихся 7 класса, 4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C15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 и 60 обучающихся 9-х классов.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Распределение результатов участников письменной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уровням сформированности читательской грамотности представлено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таблице 2.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Результаты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сформированности читательской грамотности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14"/>
        <w:gridCol w:w="1747"/>
        <w:gridCol w:w="1330"/>
        <w:gridCol w:w="1375"/>
        <w:gridCol w:w="1602"/>
        <w:gridCol w:w="1389"/>
      </w:tblGrid>
      <w:tr w:rsidR="002C00E9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00E9" w:rsidRDefault="00A764E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245CD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245CD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245CD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245CD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245CD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76,9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357A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357A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357A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57AEE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23038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BF1098" w:rsidP="00BF109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BF109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BF109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1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BF1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BF109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AC251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AC251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2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C2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8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2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C25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AC2519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2C104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pPr>
              <w:rPr>
                <w:lang w:val="ru-RU"/>
              </w:rPr>
            </w:pPr>
            <w:r>
              <w:rPr>
                <w:lang w:val="ru-RU"/>
              </w:rPr>
              <w:t>9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DC1576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23038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96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23038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96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23038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96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23038" w:rsidP="00DC157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496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DC15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30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496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2C00E9" w:rsidRDefault="00A764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C00E9" w:rsidRPr="00B8299F" w:rsidRDefault="00A764E0" w:rsidP="002631D7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8299F" w:rsidRPr="00B8299F">
        <w:rPr>
          <w:rFonts w:hAnsi="Times New Roman" w:cs="Times New Roman"/>
          <w:color w:val="000000"/>
          <w:sz w:val="24"/>
          <w:szCs w:val="24"/>
          <w:lang w:val="ru-RU"/>
        </w:rPr>
        <w:t>/5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B8299F" w:rsidRPr="00B8299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8299F" w:rsidRPr="00B8299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 имеют базовый уровень сформированности читательской грамотности. При этом кажды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е два из</w:t>
      </w:r>
      <w:r w:rsidR="00B8299F" w:rsidRPr="00B829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т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рёх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обучающийся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достиг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уровня: 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учеников имеют недостаточный или низкий уровень сформированности читательской грамотности. </w:t>
      </w:r>
      <w:r w:rsidRPr="00B8299F">
        <w:rPr>
          <w:rFonts w:hAnsi="Times New Roman" w:cs="Times New Roman"/>
          <w:color w:val="000000"/>
          <w:sz w:val="24"/>
          <w:szCs w:val="24"/>
          <w:lang w:val="ru-RU"/>
        </w:rPr>
        <w:t>Повышенный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99F">
        <w:rPr>
          <w:rFonts w:hAnsi="Times New Roman" w:cs="Times New Roman"/>
          <w:color w:val="000000"/>
          <w:sz w:val="24"/>
          <w:szCs w:val="24"/>
          <w:lang w:val="ru-RU"/>
        </w:rPr>
        <w:t>высокий уровни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99F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показали только 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18,3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299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299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учеников.</w:t>
      </w:r>
    </w:p>
    <w:p w:rsidR="002C00E9" w:rsidRPr="00A764E0" w:rsidRDefault="00A764E0" w:rsidP="002631D7">
      <w:pPr>
        <w:numPr>
          <w:ilvl w:val="0"/>
          <w:numId w:val="2"/>
        </w:numPr>
        <w:tabs>
          <w:tab w:val="clear" w:pos="720"/>
          <w:tab w:val="num" w:pos="426"/>
        </w:tabs>
        <w:ind w:left="426" w:right="180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Результаты выполнения диагностической работы показывают, что наиболее успешно обучающиеся 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заданиями, проверяющими умения выявлять информацию.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итогам диагностики отмечаются дефициты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заданий, требующих давать оценку проблеме, интерпретировать, рассуждать. Самые низкие результаты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умением применять полученные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лично значимой ситуации.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Математическая грамотность</w:t>
      </w:r>
    </w:p>
    <w:p w:rsidR="00B8299F" w:rsidRPr="00A764E0" w:rsidRDefault="00B8299F" w:rsidP="00B829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диагностике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23 обучающихся 7 класса, 35 обучающихся 8-х классов и 40 обучающихся 9-х классов.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диагностических работ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таблице 3.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Результаты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сформированности математической грамотности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14"/>
        <w:gridCol w:w="1747"/>
        <w:gridCol w:w="1330"/>
        <w:gridCol w:w="1375"/>
        <w:gridCol w:w="1602"/>
        <w:gridCol w:w="1389"/>
      </w:tblGrid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B78EA" w:rsidP="005D7C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D7C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D7C6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7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57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64,8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6478B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6478B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64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6478B" w:rsidP="00FA15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="00FA1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6478B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43,5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 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A1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FA158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A158E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FA158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A15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035365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35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35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035365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5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353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lang w:val="ru-RU"/>
              </w:rPr>
            </w:pPr>
            <w:r>
              <w:rPr>
                <w:lang w:val="ru-RU"/>
              </w:rPr>
              <w:t>8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92EE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92EE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92E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92EE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92EE8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01647" w:rsidP="0090164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0164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16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9016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0164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0164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pPr>
              <w:rPr>
                <w:lang w:val="ru-RU"/>
              </w:rPr>
            </w:pPr>
            <w:r>
              <w:rPr>
                <w:lang w:val="ru-RU"/>
              </w:rPr>
              <w:t>9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90164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C10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0B233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D6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0B233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D6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0B233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D6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3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6D6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0B233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6D6C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8967E3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таблицы видно, что высокий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повышенный уровни сформированности математической грамотности показали 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обучающихся </w:t>
      </w:r>
      <w:r w:rsidR="00B8299F">
        <w:rPr>
          <w:rFonts w:hAnsi="Times New Roman" w:cs="Times New Roman"/>
          <w:color w:val="000000"/>
          <w:sz w:val="24"/>
          <w:szCs w:val="24"/>
          <w:lang w:val="ru-RU"/>
        </w:rPr>
        <w:t>5-9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классов. Низкий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недостаточный уровни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67E3">
        <w:rPr>
          <w:rFonts w:hAnsi="Times New Roman" w:cs="Times New Roman"/>
          <w:color w:val="000000"/>
          <w:sz w:val="24"/>
          <w:szCs w:val="24"/>
          <w:lang w:val="ru-RU"/>
        </w:rPr>
        <w:t xml:space="preserve">65,5 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="008967E3"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8967E3">
        <w:rPr>
          <w:rFonts w:hAnsi="Times New Roman" w:cs="Times New Roman"/>
          <w:color w:val="000000"/>
          <w:sz w:val="24"/>
          <w:szCs w:val="24"/>
          <w:lang w:val="ru-RU"/>
        </w:rPr>
        <w:t>5-9</w:t>
      </w:r>
      <w:r w:rsidR="008967E3"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. Это означает, что </w:t>
      </w:r>
      <w:r w:rsidR="008967E3">
        <w:rPr>
          <w:rFonts w:hAnsi="Times New Roman" w:cs="Times New Roman"/>
          <w:color w:val="000000"/>
          <w:sz w:val="24"/>
          <w:szCs w:val="24"/>
          <w:lang w:val="ru-RU"/>
        </w:rPr>
        <w:t>двое из трёх обучающихся основной школы, принявших участие в диагностике,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достигает порога математической грамотности. 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Естественно-научная грамотность</w:t>
      </w:r>
    </w:p>
    <w:p w:rsidR="008967E3" w:rsidRPr="00A764E0" w:rsidRDefault="008967E3" w:rsidP="008967E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диагностике приняли участие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23 обучающихся 7 класса, 49 обучающихся 8-х классов и 62 обучающихся 9-х классов.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диагностических работ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="008967E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67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9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Результаты диагностики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сформированности естественно-научной грамотности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14"/>
        <w:gridCol w:w="1747"/>
        <w:gridCol w:w="1330"/>
        <w:gridCol w:w="1375"/>
        <w:gridCol w:w="1602"/>
        <w:gridCol w:w="1389"/>
      </w:tblGrid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Недостаточный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576" w:rsidRDefault="00DC1576" w:rsidP="001C349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  <w:proofErr w:type="spellEnd"/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1C349F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557C6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>6 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57C67" w:rsidP="003013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301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013D4" w:rsidP="003013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013D4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013D4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B78EA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B78EA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B78EA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B78EA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FB78EA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r>
              <w:rPr>
                <w:rFonts w:hAnsi="Times New Roman" w:cs="Times New Roman"/>
                <w:color w:val="000000"/>
                <w:sz w:val="24"/>
                <w:szCs w:val="24"/>
              </w:rPr>
              <w:t>8 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lang w:val="ru-RU"/>
              </w:rPr>
            </w:pPr>
            <w:r>
              <w:rPr>
                <w:lang w:val="ru-RU"/>
              </w:rPr>
              <w:t>8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Pr="00DC1576" w:rsidRDefault="00DC1576" w:rsidP="001C349F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2C1043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pPr>
              <w:rPr>
                <w:lang w:val="ru-RU"/>
              </w:rPr>
            </w:pPr>
            <w:r>
              <w:rPr>
                <w:lang w:val="ru-RU"/>
              </w:rPr>
              <w:t>9 «Б»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5757C6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C1576" w:rsidTr="001C349F"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DC1576" w:rsidP="001C349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33942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53,2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33942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32,7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33942" w:rsidP="003339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33942" w:rsidP="003339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0,6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1576" w:rsidRDefault="00333942" w:rsidP="001C34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="00DC157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2631D7" w:rsidRDefault="002631D7" w:rsidP="008967E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00E9" w:rsidRPr="00A764E0" w:rsidRDefault="00A764E0" w:rsidP="008967E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диагностических работ демонстрируют, что 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более половины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недостаточный уров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ень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сформированности естественно-научной грамотности.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 xml:space="preserve"> Почти каждый третий обучающийся 5-9-х классов имеют низкий уровень сформированности естественно-научной грамотности.</w:t>
      </w:r>
    </w:p>
    <w:p w:rsidR="002C00E9" w:rsidRPr="00A764E0" w:rsidRDefault="00A764E0" w:rsidP="008967E3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примерно 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восьмой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 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5-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9-х </w:t>
      </w:r>
      <w:r w:rsidR="00BE20E0">
        <w:rPr>
          <w:rFonts w:hAnsi="Times New Roman" w:cs="Times New Roman"/>
          <w:color w:val="000000"/>
          <w:sz w:val="24"/>
          <w:szCs w:val="24"/>
          <w:lang w:val="ru-RU"/>
        </w:rPr>
        <w:t>владеет базовыми естественнонаучными навыками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0E9" w:rsidRDefault="00A764E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Недостаточно высокие результаты обучающихся обусловлены недостаточным опытом выполнения заданий,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оценку функциональной грамотности.</w:t>
      </w:r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Результаты выполнения диагностических работ показывают, что наиболее успешно обучающиеся справляются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заданиями, проверяющими умения выявлять информацию.</w:t>
      </w:r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Отмечаются дефициты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выполнении заданий, требующих давать оценку проблемы, интерпретировать, рассуждать.</w:t>
      </w:r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Низкие результаты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умением использовать предметные знания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умения при решении учебно-практических задач (проблем).</w:t>
      </w:r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Самые низкие результаты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умением применять полученные 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лично значимой ситуации.</w:t>
      </w:r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При выполнении заданий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всем видам функциональной грамотности обучающиеся показали низкий уровень сформированности общеучебных умений, основным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которых является умение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информацией, представленной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 (текстах, таблицах, диаграммах или рисунках).</w:t>
      </w:r>
    </w:p>
    <w:p w:rsidR="002C00E9" w:rsidRPr="00A764E0" w:rsidRDefault="00A764E0" w:rsidP="002631D7">
      <w:pPr>
        <w:numPr>
          <w:ilvl w:val="0"/>
          <w:numId w:val="16"/>
        </w:numPr>
        <w:tabs>
          <w:tab w:val="clear" w:pos="720"/>
        </w:tabs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Причины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очень высоких результатов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направлениям функциональной грамотности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большинства обучающихся могут быть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 школьники практически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имеют опыта выполнения заданий междисциплинарного характера,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развитие общеучебных умений осуществляется преимущественно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границах учебных предметов; обучающиеся редко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жизненных ситуациях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том числе моделируемых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которых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необходимо решать социальные, научные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личные задачи.</w:t>
      </w:r>
    </w:p>
    <w:p w:rsidR="002C00E9" w:rsidRPr="00A764E0" w:rsidRDefault="00A764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1. Администрации МБОУ «С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 xml:space="preserve"> ПГО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1.1. Провести анализ типичных затруднений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различным видам 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. Использовать возможности программ внеурочной деятельности для расширения </w:t>
      </w:r>
      <w:proofErr w:type="spellStart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надпредметной</w:t>
      </w:r>
      <w:proofErr w:type="spell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сферы, включающей ключевые компетенции, соответствующие 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 Организовать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обмену опытом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области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оценки функциональной грамотности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. Выявить педагогов, которые успешно применяют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приемы формирования отдельных видов функциональной грамотности,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организовать мастер-классы, открытые уроки, декады педагогического мастерства,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внутришкольное повышение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области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развития 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2. Руководителям </w:t>
      </w:r>
      <w:r w:rsidR="002631D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объединений учителей: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2.1. Ввести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практику преподавания отдельных предметов задания, методы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приемы, способствующие формированию 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2.2. Проанализировать причины неуспешного выполнения отдельных групп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организовать коррекционную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ликвидации выявленных проблем,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предупреждению.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Использовать полученные данные для организации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уроке,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время внеклассных мероприятий, классных часов, при распределении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2.4. Использовать потенциал современных образовательных технологий, отдельных методик, приемов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стратегий, формирующих метапредметные результаты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способствующих развитию 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2.5. Обратить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организацию проектной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позиции формирования различных видов 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Учителям-предметникам, преподающим в 5–9-х классах: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3.1. Уделить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уроках внимание разбору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выполнению заданий,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процессе исследования были решены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низком уровне.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3.2. Выявить проблемные зоны как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целом,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proofErr w:type="gram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3.3. Использовать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уроках сертифицированные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грамотности, опубликованные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открытом доступе,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уроках использовать задания РЭШ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время закрепления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систематизации знаний.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рамках текущего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включать задания разных типов, аналогичные заданиям, представленным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диагностиках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3.5.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уроках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предусматривать задания,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умение интерпретировать информацию, представленную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различных формах (таблицы, диаграммы, графики реальных зависимостей), задания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статистических показателей для характеристики реальных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процессов.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 xml:space="preserve">3.6. Формировать навык установления причинно-следственных связей, умение строить </w:t>
      </w:r>
      <w:proofErr w:type="gramStart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логическое рассуждение</w:t>
      </w:r>
      <w:proofErr w:type="gramEnd"/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, умозаключение (индуктивное, дедуктивное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аналогии)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выводы.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3.7. Совершенствовать умение выдвижения гипотез при решении учебных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понимание необходимости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проверки.</w:t>
      </w:r>
    </w:p>
    <w:p w:rsidR="002C00E9" w:rsidRPr="00A764E0" w:rsidRDefault="00A764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3.8. Овладеть конкретными практическими приемами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составлению заданий,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64E0">
        <w:rPr>
          <w:rFonts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54"/>
        <w:gridCol w:w="2923"/>
      </w:tblGrid>
      <w:tr w:rsidR="002C00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Pr="00A764E0" w:rsidRDefault="00A764E0" w:rsidP="002631D7">
            <w:pPr>
              <w:rPr>
                <w:lang w:val="ru-RU"/>
              </w:rPr>
            </w:pPr>
            <w:r w:rsidRPr="00A764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631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E9" w:rsidRDefault="002631D7" w:rsidP="002631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Е.Ю.</w:t>
            </w:r>
          </w:p>
        </w:tc>
      </w:tr>
    </w:tbl>
    <w:p w:rsidR="002C00E9" w:rsidRDefault="002C00E9" w:rsidP="002631D7">
      <w:pPr>
        <w:rPr>
          <w:rFonts w:hAnsi="Times New Roman" w:cs="Times New Roman"/>
          <w:color w:val="000000"/>
          <w:sz w:val="24"/>
          <w:szCs w:val="24"/>
        </w:rPr>
      </w:pPr>
    </w:p>
    <w:sectPr w:rsidR="002C00E9" w:rsidSect="002631D7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07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C1E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C39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247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635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A03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6025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312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C3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C95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F57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5B6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C332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BA54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F22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0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5365"/>
    <w:rsid w:val="000B2337"/>
    <w:rsid w:val="001C349F"/>
    <w:rsid w:val="002631D7"/>
    <w:rsid w:val="0026478B"/>
    <w:rsid w:val="002C00E9"/>
    <w:rsid w:val="002C1043"/>
    <w:rsid w:val="002D33B1"/>
    <w:rsid w:val="002D3591"/>
    <w:rsid w:val="003013D4"/>
    <w:rsid w:val="00323038"/>
    <w:rsid w:val="00333942"/>
    <w:rsid w:val="003514A0"/>
    <w:rsid w:val="00357AEE"/>
    <w:rsid w:val="00496B80"/>
    <w:rsid w:val="004F7E17"/>
    <w:rsid w:val="00557C67"/>
    <w:rsid w:val="005757C6"/>
    <w:rsid w:val="005875D2"/>
    <w:rsid w:val="00592EE8"/>
    <w:rsid w:val="005A05CE"/>
    <w:rsid w:val="005D7C66"/>
    <w:rsid w:val="00653AF6"/>
    <w:rsid w:val="006D6C80"/>
    <w:rsid w:val="008967E3"/>
    <w:rsid w:val="00901647"/>
    <w:rsid w:val="009245CD"/>
    <w:rsid w:val="00943940"/>
    <w:rsid w:val="009D0E54"/>
    <w:rsid w:val="00A764E0"/>
    <w:rsid w:val="00AC2519"/>
    <w:rsid w:val="00B73A5A"/>
    <w:rsid w:val="00B8299F"/>
    <w:rsid w:val="00BE20E0"/>
    <w:rsid w:val="00BF1098"/>
    <w:rsid w:val="00CC5AE2"/>
    <w:rsid w:val="00DC1576"/>
    <w:rsid w:val="00E438A1"/>
    <w:rsid w:val="00F01E19"/>
    <w:rsid w:val="00FA158E"/>
    <w:rsid w:val="00FB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15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dcterms:created xsi:type="dcterms:W3CDTF">2011-11-02T04:15:00Z</dcterms:created>
  <dcterms:modified xsi:type="dcterms:W3CDTF">2025-01-05T06:46:00Z</dcterms:modified>
</cp:coreProperties>
</file>